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263BD6" w:rsidRDefault="003A77F9" w:rsidP="00780CB4">
            <w:pPr>
              <w:rPr>
                <w:rFonts w:ascii="Calibri" w:hAnsi="Calibri"/>
              </w:rPr>
            </w:pPr>
            <w:r w:rsidRPr="00263BD6">
              <w:rPr>
                <w:rFonts w:ascii="Calibri" w:hAnsi="Calibri" w:cs="Calibri"/>
                <w:lang w:val="sr-Latn-CS"/>
              </w:rPr>
              <w:t xml:space="preserve">        </w:t>
            </w:r>
            <w:r w:rsidR="00E16EB3" w:rsidRPr="00263BD6">
              <w:rPr>
                <w:rFonts w:ascii="Calibri" w:hAnsi="Calibri" w:cs="Calibri"/>
                <w:noProof/>
                <w:color w:val="1F497D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263BD6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lang w:val="sr-Latn-CS" w:eastAsia="sr-Latn-CS"/>
              </w:rPr>
            </w:pPr>
            <w:r w:rsidRPr="00263BD6">
              <w:rPr>
                <w:rFonts w:ascii="Calibri" w:hAnsi="Calibri" w:cs="Calibri"/>
                <w:noProof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84768D" w:rsidR="003A2C5A" w:rsidRPr="009523AD" w:rsidRDefault="00263B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 w:rsidRPr="00263BD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PROCENA RIZIKA I OSIGURANJE IMOVINE OD POŽARA I LOMA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726FC24B" w:rsidR="00DB312C" w:rsidRDefault="002E705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63BD6">
        <w:trPr>
          <w:gridAfter w:val="1"/>
          <w:wAfter w:w="58" w:type="dxa"/>
          <w:trHeight w:val="105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3F4FA33F" w:rsidR="005A1CC8" w:rsidRPr="00263BD6" w:rsidRDefault="00E950A5" w:rsidP="00263BD6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263BD6">
        <w:trPr>
          <w:gridAfter w:val="1"/>
          <w:wAfter w:w="58" w:type="dxa"/>
          <w:trHeight w:val="18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263BD6">
        <w:trPr>
          <w:gridAfter w:val="1"/>
          <w:wAfter w:w="58" w:type="dxa"/>
          <w:trHeight w:val="198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9E4CD54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1.     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UVOD</w:t>
            </w:r>
          </w:p>
          <w:p w14:paraId="09A6121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1.1.Pojam jedinstvenog rizika i podela na rizike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1DE6F8D9" w14:textId="112DDBE4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1.2. Značaj procene i podele rizika sa aspekta kvaliteta osiguravajućeg pokrića i zaključenja optimalnog ugovora o osiguranju imovine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;</w:t>
            </w:r>
          </w:p>
          <w:p w14:paraId="40E550AF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 PREGLED RIZIKA, SISTEMI ZAŠTITE OD POŽARA, POPUSTI I MAKSIMALNO MOGUĆA ŠTETA</w:t>
            </w:r>
          </w:p>
          <w:p w14:paraId="385517BA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2.1. Utvrđivanje stanje imovine (objekata i opreme)</w:t>
            </w:r>
          </w:p>
          <w:p w14:paraId="337BFF5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2.2. Vrsta delatnosti (klasa opasnosti);</w:t>
            </w:r>
          </w:p>
          <w:p w14:paraId="37001628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2.3. Građevinska kategorija;</w:t>
            </w:r>
          </w:p>
          <w:p w14:paraId="195EDD0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2.4. Informacije o primenjenim merama zaštite imovine (klasa zaštitnih mera i popusti na premiju);</w:t>
            </w:r>
          </w:p>
          <w:p w14:paraId="6752A0AC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2.5. Pravilna primena tarife</w:t>
            </w:r>
          </w:p>
          <w:p w14:paraId="67EAD0B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2.6. 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PP aparati, hidrantska mreža i hidranti, stabilni sistemi za dojavu i gašenje požara, video nadzor;</w:t>
            </w:r>
          </w:p>
          <w:p w14:paraId="11D4F546" w14:textId="479083DA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2.7. M</w:t>
            </w: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  <w:t>aksimalno moguća šteta od jednog događaja i procena MMŠ;</w:t>
            </w:r>
          </w:p>
          <w:p w14:paraId="31D23282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3.    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RS" w:eastAsia="sr-Latn-RS"/>
              </w:rPr>
              <w:t>OPTIMIZACIJA UGOVORENIH ELEMENATA OSIGURANJA IMOVINE NA OSNOVU PROCENE RIZIKA I PREGLEDA PREDMETA OSIGURANJA I KORELACIJA SA OPŠTIM USLOVIMA OSIGURANJA IMOVINE</w:t>
            </w:r>
          </w:p>
          <w:p w14:paraId="67E861EB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lastRenderedPageBreak/>
              <w:t>3.1. Uklapanje individualnih karakteristika predmeta osiguranja i osiguranika u  pravni okvir opštih i posebnih uslova;</w:t>
            </w:r>
          </w:p>
          <w:p w14:paraId="59015327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3.2. Obaveze osiguranika i osiguravača sa aspekta izveštaja o pregledu predmeta osiguranja ili elaborata;</w:t>
            </w:r>
          </w:p>
          <w:p w14:paraId="22DFF6C1" w14:textId="77777777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3.3. Precizno definisanje sume osiguranja u odnosu na vrednost osiguranog  predmeta;</w:t>
            </w:r>
          </w:p>
          <w:p w14:paraId="707CA009" w14:textId="1BBA7299" w:rsidR="00525C4C" w:rsidRPr="00525C4C" w:rsidRDefault="00525C4C" w:rsidP="00525C4C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RS" w:eastAsia="sr-Latn-RS"/>
              </w:rPr>
              <w:t>3.4. Uloga prodaje i samog prodavca, zastupnika, posrednika;</w:t>
            </w:r>
          </w:p>
          <w:p w14:paraId="69FE08B0" w14:textId="59C87F59" w:rsidR="00063389" w:rsidRPr="00263BD6" w:rsidRDefault="00525C4C" w:rsidP="00263BD6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eastAsia="sr-Latn-RS"/>
              </w:rPr>
            </w:pPr>
            <w:r w:rsidRPr="00525C4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Cyrl-CS" w:eastAsia="sr-Latn-RS"/>
              </w:rPr>
              <w:t>4. </w:t>
            </w:r>
            <w:r w:rsidRPr="00525C4C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lang w:val="sr-Cyrl-CS" w:eastAsia="sr-Latn-RS"/>
              </w:rPr>
              <w:t>ZAKLJUČAK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3DF2B912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63B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263BD6">
        <w:trPr>
          <w:gridAfter w:val="1"/>
          <w:wAfter w:w="58" w:type="dxa"/>
          <w:trHeight w:val="1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263BD6">
        <w:trPr>
          <w:trHeight w:val="602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F262D8E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E70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2E70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954F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C8A78" w14:textId="77777777" w:rsidR="007712E3" w:rsidRDefault="007712E3">
      <w:r>
        <w:separator/>
      </w:r>
    </w:p>
  </w:endnote>
  <w:endnote w:type="continuationSeparator" w:id="0">
    <w:p w14:paraId="4484726A" w14:textId="77777777" w:rsidR="007712E3" w:rsidRDefault="00771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96717" w14:textId="77777777" w:rsidR="007712E3" w:rsidRDefault="007712E3">
      <w:r>
        <w:separator/>
      </w:r>
    </w:p>
  </w:footnote>
  <w:footnote w:type="continuationSeparator" w:id="0">
    <w:p w14:paraId="0746C282" w14:textId="77777777" w:rsidR="007712E3" w:rsidRDefault="00771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3BD6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05C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1977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C4C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A06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12E3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54F6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3F6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66F3D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318E"/>
    <w:rsid w:val="00F87C96"/>
    <w:rsid w:val="00F902B1"/>
    <w:rsid w:val="00F937B8"/>
    <w:rsid w:val="00F95358"/>
    <w:rsid w:val="00FA12AD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2026-01-09T12:39:00Z</dcterms:created>
  <dcterms:modified xsi:type="dcterms:W3CDTF">2026-04-22T13:16:00Z</dcterms:modified>
</cp:coreProperties>
</file>